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F47" w:rsidRPr="00AE6F47" w:rsidRDefault="00AE6F47" w:rsidP="00AE6F4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0"/>
          <w:szCs w:val="20"/>
        </w:rPr>
      </w:pPr>
    </w:p>
    <w:p w:rsidR="00AE6F47" w:rsidRPr="00AE6F47" w:rsidRDefault="00AE6F47" w:rsidP="00AE6F4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0"/>
          <w:szCs w:val="20"/>
        </w:rPr>
      </w:pPr>
    </w:p>
    <w:p w:rsidR="00AE6F47" w:rsidRPr="00AE6F47" w:rsidRDefault="00AE6F47" w:rsidP="00AE6F4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0"/>
          <w:szCs w:val="20"/>
        </w:rPr>
      </w:pPr>
    </w:p>
    <w:p w:rsidR="00AE6F47" w:rsidRPr="00AE6F47" w:rsidRDefault="00AE6F47" w:rsidP="00AE6F4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0"/>
          <w:szCs w:val="20"/>
        </w:rPr>
      </w:pPr>
    </w:p>
    <w:p w:rsidR="00AE6F47" w:rsidRPr="00AE6F47" w:rsidRDefault="00AE6F47" w:rsidP="00AE6F4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0"/>
          <w:szCs w:val="20"/>
        </w:rPr>
      </w:pPr>
    </w:p>
    <w:p w:rsidR="00AE6F47" w:rsidRPr="00AE6F47" w:rsidRDefault="00AE6F47" w:rsidP="00AE6F47">
      <w:pPr>
        <w:spacing w:after="0"/>
        <w:rPr>
          <w:rFonts w:cstheme="minorHAnsi"/>
          <w:b/>
          <w:sz w:val="20"/>
          <w:szCs w:val="20"/>
        </w:rPr>
      </w:pPr>
    </w:p>
    <w:p w:rsidR="00AE6F47" w:rsidRPr="00AE6F47" w:rsidRDefault="00AE6F47" w:rsidP="00AE6F47">
      <w:pPr>
        <w:spacing w:after="0"/>
        <w:jc w:val="right"/>
        <w:rPr>
          <w:rFonts w:cstheme="minorHAnsi"/>
          <w:sz w:val="20"/>
          <w:szCs w:val="20"/>
        </w:rPr>
      </w:pPr>
      <w:r w:rsidRPr="00AE6F47">
        <w:rPr>
          <w:rFonts w:cstheme="minorHAnsi"/>
          <w:b/>
          <w:sz w:val="20"/>
          <w:szCs w:val="20"/>
        </w:rPr>
        <w:t xml:space="preserve">DEPENDENCIA: </w:t>
      </w:r>
      <w:r w:rsidRPr="00AE6F47">
        <w:rPr>
          <w:rFonts w:cstheme="minorHAnsi"/>
          <w:sz w:val="20"/>
          <w:szCs w:val="20"/>
        </w:rPr>
        <w:t>TESORERÍA MUNICIPAL</w:t>
      </w:r>
    </w:p>
    <w:p w:rsidR="00AE6F47" w:rsidRPr="00AE6F47" w:rsidRDefault="00AE6F47" w:rsidP="00AE6F47">
      <w:pPr>
        <w:spacing w:after="0"/>
        <w:jc w:val="right"/>
        <w:rPr>
          <w:rFonts w:cstheme="minorHAnsi"/>
          <w:sz w:val="20"/>
          <w:szCs w:val="20"/>
        </w:rPr>
      </w:pPr>
      <w:r w:rsidRPr="00AE6F47">
        <w:rPr>
          <w:rFonts w:cstheme="minorHAnsi"/>
          <w:b/>
          <w:sz w:val="20"/>
          <w:szCs w:val="20"/>
        </w:rPr>
        <w:t xml:space="preserve">ASUNTO: </w:t>
      </w:r>
      <w:r w:rsidRPr="00AE6F47">
        <w:rPr>
          <w:rFonts w:cstheme="minorHAnsi"/>
          <w:sz w:val="20"/>
          <w:szCs w:val="20"/>
        </w:rPr>
        <w:t>HERRAMIENTA 25 CIMTRA</w:t>
      </w:r>
    </w:p>
    <w:p w:rsidR="00AE6F47" w:rsidRPr="00AE6F47" w:rsidRDefault="00AE6F47" w:rsidP="00AE6F47">
      <w:pPr>
        <w:spacing w:after="0"/>
        <w:jc w:val="right"/>
        <w:rPr>
          <w:rFonts w:cstheme="minorHAnsi"/>
          <w:sz w:val="20"/>
          <w:szCs w:val="20"/>
        </w:rPr>
      </w:pPr>
      <w:r w:rsidRPr="00AE6F47">
        <w:rPr>
          <w:rFonts w:cstheme="minorHAnsi"/>
          <w:b/>
          <w:sz w:val="20"/>
          <w:szCs w:val="20"/>
        </w:rPr>
        <w:t xml:space="preserve">OFICIO: </w:t>
      </w:r>
      <w:r w:rsidRPr="00AE6F47">
        <w:rPr>
          <w:rFonts w:cstheme="minorHAnsi"/>
          <w:sz w:val="20"/>
          <w:szCs w:val="20"/>
        </w:rPr>
        <w:t>TM/</w:t>
      </w:r>
      <w:r w:rsidR="005B1978">
        <w:rPr>
          <w:rFonts w:cstheme="minorHAnsi"/>
          <w:sz w:val="20"/>
          <w:szCs w:val="20"/>
        </w:rPr>
        <w:t>796</w:t>
      </w:r>
      <w:bookmarkStart w:id="0" w:name="_GoBack"/>
      <w:bookmarkEnd w:id="0"/>
      <w:r w:rsidR="005B1978">
        <w:rPr>
          <w:rFonts w:cstheme="minorHAnsi"/>
          <w:sz w:val="20"/>
          <w:szCs w:val="20"/>
        </w:rPr>
        <w:t>/2022</w:t>
      </w:r>
    </w:p>
    <w:p w:rsidR="00AE6F47" w:rsidRPr="00AE6F47" w:rsidRDefault="00AE6F47" w:rsidP="00AE6F47">
      <w:pPr>
        <w:spacing w:after="0"/>
        <w:jc w:val="right"/>
        <w:rPr>
          <w:rFonts w:cstheme="minorHAnsi"/>
          <w:b/>
          <w:sz w:val="20"/>
          <w:szCs w:val="20"/>
        </w:rPr>
      </w:pPr>
      <w:r w:rsidRPr="00AE6F47">
        <w:rPr>
          <w:rFonts w:cstheme="minorHAnsi"/>
          <w:b/>
          <w:sz w:val="20"/>
          <w:szCs w:val="20"/>
        </w:rPr>
        <w:t xml:space="preserve">CHIHUAHUA, CHIH., A </w:t>
      </w:r>
      <w:r w:rsidR="005B1978">
        <w:rPr>
          <w:rFonts w:cstheme="minorHAnsi"/>
          <w:b/>
          <w:sz w:val="20"/>
          <w:szCs w:val="20"/>
        </w:rPr>
        <w:t>20</w:t>
      </w:r>
      <w:r w:rsidR="00C57C87">
        <w:rPr>
          <w:rFonts w:cstheme="minorHAnsi"/>
          <w:b/>
          <w:sz w:val="20"/>
          <w:szCs w:val="20"/>
        </w:rPr>
        <w:t xml:space="preserve"> DE ABRIL</w:t>
      </w:r>
      <w:r w:rsidR="005B1978">
        <w:rPr>
          <w:rFonts w:cstheme="minorHAnsi"/>
          <w:b/>
          <w:sz w:val="20"/>
          <w:szCs w:val="20"/>
        </w:rPr>
        <w:t xml:space="preserve"> DE 2022</w:t>
      </w:r>
    </w:p>
    <w:p w:rsidR="00AE6F47" w:rsidRPr="00AE6F47" w:rsidRDefault="00AE6F47" w:rsidP="00AE6F47">
      <w:pPr>
        <w:spacing w:after="0"/>
        <w:rPr>
          <w:rFonts w:cstheme="minorHAnsi"/>
          <w:b/>
          <w:sz w:val="20"/>
          <w:szCs w:val="20"/>
        </w:rPr>
      </w:pPr>
    </w:p>
    <w:p w:rsidR="00AE6F47" w:rsidRPr="00AE6F47" w:rsidRDefault="005B1978" w:rsidP="00AE6F47">
      <w:pPr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LIC. CARMEN YAZMIN HIDALGO POSADA</w:t>
      </w:r>
    </w:p>
    <w:p w:rsidR="00AE6F47" w:rsidRPr="00AE6F47" w:rsidRDefault="00AE6F47" w:rsidP="00AE6F47">
      <w:pPr>
        <w:spacing w:after="0"/>
        <w:rPr>
          <w:rFonts w:cstheme="minorHAnsi"/>
          <w:b/>
          <w:sz w:val="20"/>
          <w:szCs w:val="20"/>
        </w:rPr>
      </w:pPr>
      <w:r w:rsidRPr="00AE6F47">
        <w:rPr>
          <w:rFonts w:cstheme="minorHAnsi"/>
          <w:b/>
          <w:sz w:val="20"/>
          <w:szCs w:val="20"/>
        </w:rPr>
        <w:t>COORDINADOR</w:t>
      </w:r>
      <w:r w:rsidR="005B1978">
        <w:rPr>
          <w:rFonts w:cstheme="minorHAnsi"/>
          <w:b/>
          <w:sz w:val="20"/>
          <w:szCs w:val="20"/>
        </w:rPr>
        <w:t>A</w:t>
      </w:r>
      <w:r w:rsidRPr="00AE6F47">
        <w:rPr>
          <w:rFonts w:cstheme="minorHAnsi"/>
          <w:b/>
          <w:sz w:val="20"/>
          <w:szCs w:val="20"/>
        </w:rPr>
        <w:t xml:space="preserve"> DE TRANSPARENCIA</w:t>
      </w:r>
      <w:r w:rsidR="005B1978">
        <w:rPr>
          <w:rFonts w:cstheme="minorHAnsi"/>
          <w:b/>
          <w:sz w:val="20"/>
          <w:szCs w:val="20"/>
        </w:rPr>
        <w:t>, GOBIERNO ABIERTO</w:t>
      </w:r>
      <w:r w:rsidRPr="00AE6F47">
        <w:rPr>
          <w:rFonts w:cstheme="minorHAnsi"/>
          <w:b/>
          <w:sz w:val="20"/>
          <w:szCs w:val="20"/>
        </w:rPr>
        <w:t xml:space="preserve"> Y</w:t>
      </w:r>
    </w:p>
    <w:p w:rsidR="00AE6F47" w:rsidRPr="00AE6F47" w:rsidRDefault="005B1978" w:rsidP="00AE6F47">
      <w:pPr>
        <w:spacing w:after="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ARCHIVO DEL MUNICIPIO DE CHIHUAHUA</w:t>
      </w:r>
    </w:p>
    <w:p w:rsidR="00AE6F47" w:rsidRPr="00AE6F47" w:rsidRDefault="00AE6F47" w:rsidP="00AE6F47">
      <w:pPr>
        <w:spacing w:after="0"/>
        <w:rPr>
          <w:rFonts w:cstheme="minorHAnsi"/>
          <w:b/>
          <w:sz w:val="20"/>
          <w:szCs w:val="20"/>
        </w:rPr>
      </w:pPr>
    </w:p>
    <w:p w:rsidR="00AE6F47" w:rsidRPr="00AE6F47" w:rsidRDefault="00AE6F47" w:rsidP="00AE6F47">
      <w:pPr>
        <w:spacing w:after="0"/>
        <w:rPr>
          <w:rFonts w:cstheme="minorHAnsi"/>
          <w:b/>
          <w:sz w:val="20"/>
          <w:szCs w:val="20"/>
        </w:rPr>
      </w:pPr>
      <w:r w:rsidRPr="00AE6F47">
        <w:rPr>
          <w:rFonts w:cstheme="minorHAnsi"/>
          <w:b/>
          <w:sz w:val="20"/>
          <w:szCs w:val="20"/>
        </w:rPr>
        <w:t>P R E S E N T E.-</w:t>
      </w:r>
    </w:p>
    <w:p w:rsidR="00AE6F47" w:rsidRPr="00AE6F47" w:rsidRDefault="00AE6F47" w:rsidP="00AE6F4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0"/>
          <w:szCs w:val="20"/>
        </w:rPr>
      </w:pPr>
    </w:p>
    <w:p w:rsidR="00AE6F47" w:rsidRPr="00AE6F47" w:rsidRDefault="00AE6F47" w:rsidP="00AE6F4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0"/>
          <w:szCs w:val="20"/>
        </w:rPr>
      </w:pPr>
      <w:r w:rsidRPr="00AE6F47">
        <w:rPr>
          <w:rFonts w:cs="Arial"/>
          <w:color w:val="000000"/>
          <w:sz w:val="20"/>
          <w:szCs w:val="20"/>
        </w:rPr>
        <w:t xml:space="preserve">Con un cordial saludo, y atendiendo a lo señalado en la Herramienta CIMTRA 25, que solicita tener a la vista de manera semestral el monto de los subejercicios de cada uno de los programas sociales, tanto Federal, Estatal y Municipal, así como el destino de los mismos, me permito hacer de su conocimiento que de </w:t>
      </w:r>
      <w:r w:rsidR="00C57C87">
        <w:rPr>
          <w:rFonts w:cs="Arial"/>
          <w:color w:val="000000"/>
          <w:sz w:val="20"/>
          <w:szCs w:val="20"/>
        </w:rPr>
        <w:t>enero a marzo</w:t>
      </w:r>
      <w:r w:rsidR="002A09E6">
        <w:rPr>
          <w:rFonts w:cs="Arial"/>
          <w:color w:val="000000"/>
          <w:sz w:val="20"/>
          <w:szCs w:val="20"/>
        </w:rPr>
        <w:t xml:space="preserve"> </w:t>
      </w:r>
      <w:r w:rsidRPr="00AE6F47">
        <w:rPr>
          <w:rFonts w:cs="Arial"/>
          <w:color w:val="000000"/>
          <w:sz w:val="20"/>
          <w:szCs w:val="20"/>
        </w:rPr>
        <w:t>del año en curso no es posible reportar subejercicios debido a que el ejercicio del gasto p</w:t>
      </w:r>
      <w:r w:rsidR="00C57C87">
        <w:rPr>
          <w:rFonts w:cs="Arial"/>
          <w:color w:val="000000"/>
          <w:sz w:val="20"/>
          <w:szCs w:val="20"/>
        </w:rPr>
        <w:t>resupuestado para los programas</w:t>
      </w:r>
      <w:r w:rsidRPr="00AE6F47">
        <w:rPr>
          <w:rFonts w:cs="Arial"/>
          <w:color w:val="000000"/>
          <w:sz w:val="20"/>
          <w:szCs w:val="20"/>
        </w:rPr>
        <w:t xml:space="preserve"> sociales se encuentra en función al Presupuesto de Egresos que cada año aprueba por el Cabildo del H. Ayuntamiento y se publica en el Periódico Oficial del Estado para aplicarlo de acuerdo a las facultades y objetivos del Plan Municipal de Desarrollo, los cuales se encuentran en ejecución.</w:t>
      </w:r>
    </w:p>
    <w:p w:rsidR="00AE6F47" w:rsidRPr="00AE6F47" w:rsidRDefault="00AE6F47" w:rsidP="00AE6F4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0"/>
          <w:szCs w:val="20"/>
        </w:rPr>
      </w:pPr>
    </w:p>
    <w:p w:rsidR="00AE6F47" w:rsidRPr="00AE6F47" w:rsidRDefault="00AE6F47" w:rsidP="00AE6F4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0"/>
          <w:szCs w:val="20"/>
        </w:rPr>
      </w:pPr>
      <w:r w:rsidRPr="00AE6F47">
        <w:rPr>
          <w:rFonts w:cs="Arial"/>
          <w:color w:val="000000"/>
          <w:sz w:val="20"/>
          <w:szCs w:val="20"/>
        </w:rPr>
        <w:t xml:space="preserve">Cabe mencionar que cada una de las dependencias de la Administración Pública llevan un calendario distinto de los recursos, los cuales tienen disponibles hasta el fin de año; siendo cada área responsable de su administración conforme a sus facultades y la naturaleza de cada una de las Dependencias. </w:t>
      </w:r>
    </w:p>
    <w:p w:rsidR="00AE6F47" w:rsidRPr="00AE6F47" w:rsidRDefault="00AE6F47" w:rsidP="00AE6F4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0"/>
          <w:szCs w:val="20"/>
        </w:rPr>
      </w:pPr>
    </w:p>
    <w:p w:rsidR="002A09E6" w:rsidRPr="00C57C87" w:rsidRDefault="00AE6F47" w:rsidP="00AE6F4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0"/>
          <w:szCs w:val="21"/>
        </w:rPr>
      </w:pPr>
      <w:r w:rsidRPr="00AE6F47">
        <w:rPr>
          <w:rFonts w:cs="Arial"/>
          <w:color w:val="000000"/>
          <w:sz w:val="20"/>
          <w:szCs w:val="20"/>
        </w:rPr>
        <w:t>En este sentido y acorde a la normatividad de la Ley General de Contabilidad Gubernamental (LGCG) y la Ley de Disciplina Financiera (LDF), el ejercicio del gasto se encuentra en función de los capítulos y partidas en las que fue aprobado por el Cabildo para el periodo anual, mismo que no causa "subejercicio", dado que aún no finaliza el año fiscal.</w:t>
      </w:r>
      <w:r w:rsidR="002A09E6">
        <w:rPr>
          <w:rFonts w:cs="Arial"/>
          <w:color w:val="000000"/>
          <w:sz w:val="20"/>
          <w:szCs w:val="20"/>
        </w:rPr>
        <w:t xml:space="preserve"> </w:t>
      </w:r>
      <w:r w:rsidRPr="00AE6F47">
        <w:rPr>
          <w:rFonts w:cs="Arial"/>
          <w:color w:val="000000"/>
          <w:sz w:val="20"/>
          <w:szCs w:val="20"/>
        </w:rPr>
        <w:t>Así mismo, es importante destacar que las unidades ejecutoras del gasto registran el avance de sus metas físicas programadas y el avance financiero de cada uno de los programas presupuestarios, los cuales quedan integrados a la cuenta pública de este Municipio.</w:t>
      </w:r>
    </w:p>
    <w:p w:rsidR="002A09E6" w:rsidRPr="00AE6F47" w:rsidRDefault="002A09E6" w:rsidP="00AE6F4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0"/>
          <w:szCs w:val="20"/>
        </w:rPr>
      </w:pPr>
    </w:p>
    <w:p w:rsidR="007E3874" w:rsidRDefault="00AE6F47" w:rsidP="00AE6F47">
      <w:pPr>
        <w:jc w:val="both"/>
        <w:rPr>
          <w:rFonts w:cs="Arial"/>
          <w:color w:val="000000"/>
          <w:sz w:val="20"/>
          <w:szCs w:val="20"/>
        </w:rPr>
      </w:pPr>
      <w:r w:rsidRPr="00AE6F47">
        <w:rPr>
          <w:rFonts w:cs="Arial"/>
          <w:color w:val="000000"/>
          <w:sz w:val="20"/>
          <w:szCs w:val="20"/>
        </w:rPr>
        <w:t>Sin más por el momento, quedo de Usted para cualquier aclaración y duda.</w:t>
      </w:r>
    </w:p>
    <w:p w:rsidR="00AE6F47" w:rsidRPr="00AE6F47" w:rsidRDefault="00AE6F47" w:rsidP="00AE6F47">
      <w:pPr>
        <w:jc w:val="both"/>
        <w:rPr>
          <w:rFonts w:cs="Arial"/>
          <w:color w:val="000000"/>
          <w:sz w:val="20"/>
          <w:szCs w:val="20"/>
        </w:rPr>
      </w:pPr>
    </w:p>
    <w:p w:rsidR="00AE6F47" w:rsidRPr="00AE6F47" w:rsidRDefault="00AE6F47" w:rsidP="00AE6F47">
      <w:pPr>
        <w:spacing w:after="0"/>
        <w:jc w:val="center"/>
        <w:rPr>
          <w:rFonts w:cstheme="minorHAnsi"/>
          <w:b/>
          <w:sz w:val="20"/>
          <w:szCs w:val="20"/>
        </w:rPr>
      </w:pPr>
      <w:r w:rsidRPr="00AE6F47">
        <w:rPr>
          <w:rFonts w:cstheme="minorHAnsi"/>
          <w:b/>
          <w:sz w:val="20"/>
          <w:szCs w:val="20"/>
        </w:rPr>
        <w:t>ATENTAMENTE</w:t>
      </w:r>
    </w:p>
    <w:p w:rsidR="00AE6F47" w:rsidRPr="00AE6F47" w:rsidRDefault="00AE6F47" w:rsidP="00AE6F47">
      <w:pPr>
        <w:spacing w:after="0"/>
        <w:rPr>
          <w:rFonts w:cstheme="minorHAnsi"/>
          <w:b/>
          <w:sz w:val="20"/>
          <w:szCs w:val="20"/>
        </w:rPr>
      </w:pPr>
    </w:p>
    <w:p w:rsidR="00AE6F47" w:rsidRPr="00AE6F47" w:rsidRDefault="00AE6F47" w:rsidP="00AE6F47">
      <w:pPr>
        <w:spacing w:after="0"/>
        <w:jc w:val="center"/>
        <w:rPr>
          <w:rFonts w:cstheme="minorHAnsi"/>
          <w:b/>
          <w:sz w:val="20"/>
          <w:szCs w:val="20"/>
        </w:rPr>
      </w:pPr>
    </w:p>
    <w:p w:rsidR="00AE6F47" w:rsidRPr="00AE6F47" w:rsidRDefault="00AE6F47" w:rsidP="00AE6F47">
      <w:pPr>
        <w:spacing w:after="0"/>
        <w:jc w:val="center"/>
        <w:rPr>
          <w:rFonts w:cstheme="minorHAnsi"/>
          <w:b/>
          <w:sz w:val="20"/>
          <w:szCs w:val="20"/>
        </w:rPr>
      </w:pPr>
      <w:r w:rsidRPr="00AE6F47">
        <w:rPr>
          <w:rFonts w:cstheme="minorHAnsi"/>
          <w:b/>
          <w:sz w:val="20"/>
          <w:szCs w:val="20"/>
        </w:rPr>
        <w:t>MTRA. AÍDA AMANDA CÓRDOVA CHÁVEZ</w:t>
      </w:r>
    </w:p>
    <w:p w:rsidR="00AE6F47" w:rsidRPr="00AE6F47" w:rsidRDefault="00AE6F47" w:rsidP="00AE6F47">
      <w:pPr>
        <w:spacing w:after="0"/>
        <w:jc w:val="center"/>
        <w:rPr>
          <w:rFonts w:cstheme="minorHAnsi"/>
          <w:b/>
          <w:sz w:val="20"/>
          <w:szCs w:val="20"/>
        </w:rPr>
      </w:pPr>
      <w:r w:rsidRPr="00AE6F47">
        <w:rPr>
          <w:rFonts w:cstheme="minorHAnsi"/>
          <w:b/>
          <w:sz w:val="20"/>
          <w:szCs w:val="20"/>
        </w:rPr>
        <w:t>TESORERA MUNICIPAL</w:t>
      </w:r>
    </w:p>
    <w:p w:rsidR="00AE6F47" w:rsidRPr="00AE6F47" w:rsidRDefault="00AE6F47" w:rsidP="00AE6F47">
      <w:pPr>
        <w:spacing w:after="0" w:line="240" w:lineRule="auto"/>
        <w:rPr>
          <w:rFonts w:ascii="Arial" w:hAnsi="Arial" w:cs="Arial"/>
          <w:sz w:val="16"/>
          <w:szCs w:val="20"/>
          <w:lang w:val="es-ES"/>
        </w:rPr>
      </w:pPr>
    </w:p>
    <w:p w:rsidR="00AE6F47" w:rsidRDefault="005B1978" w:rsidP="00AE6F47">
      <w:pPr>
        <w:spacing w:after="0" w:line="360" w:lineRule="auto"/>
        <w:rPr>
          <w:rFonts w:ascii="Arial" w:hAnsi="Arial" w:cs="Arial"/>
          <w:b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>MFLS</w:t>
      </w:r>
      <w:r w:rsidR="00C57C87">
        <w:rPr>
          <w:rFonts w:ascii="Arial" w:hAnsi="Arial" w:cs="Arial"/>
          <w:b/>
          <w:sz w:val="16"/>
          <w:szCs w:val="20"/>
        </w:rPr>
        <w:t>/</w:t>
      </w:r>
      <w:r w:rsidR="00AE6F47" w:rsidRPr="00AE6F47">
        <w:rPr>
          <w:rFonts w:ascii="Arial" w:hAnsi="Arial" w:cs="Arial"/>
          <w:b/>
          <w:sz w:val="16"/>
          <w:szCs w:val="20"/>
        </w:rPr>
        <w:t>EMA</w:t>
      </w:r>
    </w:p>
    <w:p w:rsidR="005B1978" w:rsidRDefault="005B1978" w:rsidP="00AE6F47">
      <w:pPr>
        <w:spacing w:after="0" w:line="360" w:lineRule="auto"/>
        <w:rPr>
          <w:rFonts w:ascii="Arial" w:hAnsi="Arial" w:cs="Arial"/>
          <w:b/>
          <w:sz w:val="16"/>
          <w:szCs w:val="20"/>
        </w:rPr>
      </w:pPr>
    </w:p>
    <w:p w:rsidR="005B1978" w:rsidRDefault="005B1978" w:rsidP="00AE6F47">
      <w:pPr>
        <w:spacing w:after="0" w:line="360" w:lineRule="auto"/>
        <w:rPr>
          <w:rFonts w:ascii="Arial" w:hAnsi="Arial" w:cs="Arial"/>
          <w:b/>
          <w:sz w:val="16"/>
          <w:szCs w:val="20"/>
        </w:rPr>
      </w:pPr>
    </w:p>
    <w:p w:rsidR="005B1978" w:rsidRDefault="005B1978" w:rsidP="00AE6F47">
      <w:pPr>
        <w:spacing w:after="0" w:line="360" w:lineRule="auto"/>
        <w:rPr>
          <w:rFonts w:ascii="Arial" w:hAnsi="Arial" w:cs="Arial"/>
          <w:b/>
          <w:sz w:val="16"/>
          <w:szCs w:val="20"/>
        </w:rPr>
      </w:pPr>
    </w:p>
    <w:p w:rsidR="00AE6F47" w:rsidRPr="00AE6F47" w:rsidRDefault="005B1978" w:rsidP="00AE6F47">
      <w:pPr>
        <w:spacing w:after="0" w:line="360" w:lineRule="auto"/>
        <w:jc w:val="center"/>
        <w:rPr>
          <w:rFonts w:cs="Arial"/>
          <w:b/>
          <w:i/>
          <w:sz w:val="20"/>
          <w:szCs w:val="20"/>
        </w:rPr>
      </w:pPr>
      <w:r>
        <w:rPr>
          <w:rFonts w:cs="Arial"/>
          <w:b/>
          <w:i/>
          <w:sz w:val="20"/>
          <w:szCs w:val="20"/>
        </w:rPr>
        <w:t>“2022, Año del Centenario de la llegada de la Comunidad Menonita a Chihuahua”</w:t>
      </w:r>
    </w:p>
    <w:sectPr w:rsidR="00AE6F47" w:rsidRPr="00AE6F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F47"/>
    <w:rsid w:val="00126A32"/>
    <w:rsid w:val="002A09E6"/>
    <w:rsid w:val="005B1978"/>
    <w:rsid w:val="007E3874"/>
    <w:rsid w:val="009B4CD3"/>
    <w:rsid w:val="009C58EE"/>
    <w:rsid w:val="00AE6F47"/>
    <w:rsid w:val="00B75309"/>
    <w:rsid w:val="00C57C87"/>
    <w:rsid w:val="00E56DD2"/>
    <w:rsid w:val="00FC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E95166-3D0B-414B-8B62-DD5209A1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753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 Miller Arroyo</dc:creator>
  <cp:keywords/>
  <dc:description/>
  <cp:lastModifiedBy>Estefan Miller Arroyo</cp:lastModifiedBy>
  <cp:revision>2</cp:revision>
  <dcterms:created xsi:type="dcterms:W3CDTF">2022-04-20T16:41:00Z</dcterms:created>
  <dcterms:modified xsi:type="dcterms:W3CDTF">2022-04-20T16:41:00Z</dcterms:modified>
</cp:coreProperties>
</file>