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B40" w:rsidRPr="00C40EB5" w:rsidRDefault="00C40EB5" w:rsidP="00C40EB5">
      <w:pPr>
        <w:spacing w:after="0" w:line="240" w:lineRule="auto"/>
        <w:rPr>
          <w:rFonts w:ascii="Calibri" w:eastAsia="Times New Roman" w:hAnsi="Calibri" w:cs="Calibri"/>
          <w:color w:val="000000"/>
          <w:lang w:eastAsia="es-MX"/>
        </w:rPr>
      </w:pPr>
      <w:r w:rsidRPr="00C40EB5">
        <w:rPr>
          <w:rFonts w:ascii="Calibri" w:eastAsia="Times New Roman" w:hAnsi="Calibri" w:cs="Calibri"/>
          <w:color w:val="000000"/>
          <w:lang w:eastAsia="es-MX"/>
        </w:rPr>
        <w:t xml:space="preserve">En cuanto a “Hipervínculo a la autorización o documento de suficiencia presupuestal, Hipervínculo al (los) dictámenes base del fallo o documento(s) equivalente(s), Hipervínculo al documento del contrato y sus anexos, en versión pública si así corresponde, Hipervínculo al comunicado de suspensión, rescisión o terminación anticipada del contrato, en su caso, Hipervínculo a informes de avances físicos, si así corresponde, Hipervínculo a los informes de avance financiero, si así corresponde, Hipervínculo al acta de recepción física de los trabajos ejecutados </w:t>
      </w:r>
      <w:proofErr w:type="spellStart"/>
      <w:r w:rsidRPr="00C40EB5">
        <w:rPr>
          <w:rFonts w:ascii="Calibri" w:eastAsia="Times New Roman" w:hAnsi="Calibri" w:cs="Calibri"/>
          <w:color w:val="000000"/>
          <w:lang w:eastAsia="es-MX"/>
        </w:rPr>
        <w:t>u</w:t>
      </w:r>
      <w:proofErr w:type="spellEnd"/>
      <w:r w:rsidRPr="00C40EB5">
        <w:rPr>
          <w:rFonts w:ascii="Calibri" w:eastAsia="Times New Roman" w:hAnsi="Calibri" w:cs="Calibri"/>
          <w:color w:val="000000"/>
          <w:lang w:eastAsia="es-MX"/>
        </w:rPr>
        <w:t xml:space="preserve"> homóloga, en su caso, Hipervínculo al finiquito, contrato sin efectos concluido con anticipación o informe de resultados, en su caso, Hipervínculo a la factura o documento que cumpla con requisitos fiscales., Hipervínculo a los estudios de impacto urbano y ambiental, en su caso, hay que señalar que no se realizaron., Hi</w:t>
      </w:r>
      <w:bookmarkStart w:id="0" w:name="_GoBack"/>
      <w:bookmarkEnd w:id="0"/>
      <w:r w:rsidRPr="00C40EB5">
        <w:rPr>
          <w:rFonts w:ascii="Calibri" w:eastAsia="Times New Roman" w:hAnsi="Calibri" w:cs="Calibri"/>
          <w:color w:val="000000"/>
          <w:lang w:eastAsia="es-MX"/>
        </w:rPr>
        <w:t xml:space="preserve">pervínculo a informes de avances físicos, si así corresponde, Hipervínculo a los informes de avance financiero, si así corresponde, Hipervínculo al acta de recepción física de los trabajos ejecutados </w:t>
      </w:r>
      <w:proofErr w:type="spellStart"/>
      <w:r w:rsidRPr="00C40EB5">
        <w:rPr>
          <w:rFonts w:ascii="Calibri" w:eastAsia="Times New Roman" w:hAnsi="Calibri" w:cs="Calibri"/>
          <w:color w:val="000000"/>
          <w:lang w:eastAsia="es-MX"/>
        </w:rPr>
        <w:t>u</w:t>
      </w:r>
      <w:proofErr w:type="spellEnd"/>
      <w:r w:rsidRPr="00C40EB5">
        <w:rPr>
          <w:rFonts w:ascii="Calibri" w:eastAsia="Times New Roman" w:hAnsi="Calibri" w:cs="Calibri"/>
          <w:color w:val="000000"/>
          <w:lang w:eastAsia="es-MX"/>
        </w:rPr>
        <w:t xml:space="preserve"> homóloga, en su caso, Hipervínculo al finiquito, contrato sin efectos concluido con anticipación o informe de resultados, en su caso, Hipervínculo a la factura o documento que cumpla con requisitos fiscales”, se informa que no se proporciona información, derivado a que se encuentra en proceso la Licitación Pública.</w:t>
      </w:r>
      <w:r w:rsidRPr="00C40EB5">
        <w:rPr>
          <w:rFonts w:ascii="Calibri" w:eastAsia="Times New Roman" w:hAnsi="Calibri" w:cs="Calibri"/>
          <w:color w:val="000000"/>
          <w:lang w:eastAsia="es-MX"/>
        </w:rPr>
        <w:br/>
        <w:t>En cuanto a “Nombre(s) de la persona física ganadora, asignada o adjudicada, Primer apellido de la persona física ganadora, asignada o adjudicada, Segundo apellido de la persona física ganadora, asignada o adjudicada, sexo” se informa que aún se encuentra en proceso, siendo por lo anterior que no se proporciona información al respecto.</w:t>
      </w:r>
      <w:r w:rsidRPr="00C40EB5">
        <w:rPr>
          <w:rFonts w:ascii="Calibri" w:eastAsia="Times New Roman" w:hAnsi="Calibri" w:cs="Calibri"/>
          <w:color w:val="000000"/>
          <w:lang w:eastAsia="es-MX"/>
        </w:rPr>
        <w:br/>
        <w:t>En cuanto al “Domicilio fiscal de la empresa, persona contratista o proveedora. Tipo de vialidad, Domicilio fiscal de la empresa, persona contratista o proveedora. Nombre de vialidad, Domicilio fiscal de la empresa, persona contratista o proveedora. Número exterior, Domicilio fiscal de la empresa, persona contratista o proveedora. Número interior, en su caso, Domicilio fiscal de la empresa, persona contratista o proveedora. Tipo de asentamiento (catálogo), Domicilio fiscal de la empresa, persona contratista o proveedora. Nombre del asentamiento, Domicilio fiscal de la empresa, persona contratista o proveedora. Clave de la localidad, Domicilio fiscal de la empresa, persona contratista o proveedora. Nombre de la localidad, Domicilio fiscal de la empresa, persona contratista o proveedora. Clave del municipio, Domicilio fiscal de la empresa, persona contratista o proveedora. Nombre del municipio o delegación, Domicilio fiscal de la empresa, persona contratista o proveedora. Clave de la entidad federativa, Domicilio fiscal de la empresa, persona contratista o proveedora. Nombre de la entidad federativa (catálogo), Domicilio fiscal de la empresa, persona contratista o proveedora. Código postal, Domicilio en el extranjero de la empresa, persona contratista o proveedora ganadora. País, Domicilio en el extranjero de la empresa, persona contratista o proveedora ganadora. Ciudad, Domicilio en el extranjero de la empresa, persona contratista o proveedora ganadora. Calle, Domicilio en el extranjero de la empresa, persona contratista o proveedora ganadora. Número”; se informa que aún se encuentra en proceso, siendo por lo anterior que no se proporciona información al respecto.</w:t>
      </w:r>
      <w:r w:rsidRPr="00C40EB5">
        <w:rPr>
          <w:rFonts w:ascii="Calibri" w:eastAsia="Times New Roman" w:hAnsi="Calibri" w:cs="Calibri"/>
          <w:color w:val="000000"/>
          <w:lang w:eastAsia="es-MX"/>
        </w:rPr>
        <w:br/>
        <w:t>En cuanto a “Fecha del contrato expresada con el formato día/mes/año, Fecha de inicio de la vigencia del contrato (día/mes/año), Fecha de término de la vigencia del contrato (día/mes/año)” se informa que aún se encuentra en proceso, siendo por lo anterior que no se proporciona información al respecto.</w:t>
      </w:r>
      <w:r w:rsidRPr="00C40EB5">
        <w:rPr>
          <w:rFonts w:ascii="Calibri" w:eastAsia="Times New Roman" w:hAnsi="Calibri" w:cs="Calibri"/>
          <w:color w:val="000000"/>
          <w:lang w:eastAsia="es-MX"/>
        </w:rPr>
        <w:br/>
        <w:t>Por el tema de “Monto mínimo, con impuestos incluidos, en su caso, Monto máximo, con impuestos incluidos, en su caso, Tipo de cambio de referencia, en su caso, Monto total de las garantías y/o contragarantías  que, en su caso, se hubieren otorgado durante el procedimiento respectivo”; se informa que aún se encuentra en proceso, siendo por lo anterior que no se proporciona información al respecto.</w:t>
      </w:r>
      <w:r w:rsidRPr="00C40EB5">
        <w:rPr>
          <w:rFonts w:ascii="Calibri" w:eastAsia="Times New Roman" w:hAnsi="Calibri" w:cs="Calibri"/>
          <w:color w:val="000000"/>
          <w:lang w:eastAsia="es-MX"/>
        </w:rPr>
        <w:br/>
        <w:t>Por lo que respecta a “Lugar donde se realizará la obra pública, en su caso, Breve descripción de la obra pública, en su caso, Observaciones dirigidas a la población relativa a la realización de las obras públicas, en su caso, Etapa de la obra pública y/o servicio de la misma (catálogo), Mecanismos de vigilancia y supervisión de la ejecución, en su caso” se advierte que no se proporciona información, toda vez que no se trata de otra pública.</w:t>
      </w:r>
    </w:p>
    <w:sectPr w:rsidR="00841B40" w:rsidRPr="00C40EB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EB5"/>
    <w:rsid w:val="00841B40"/>
    <w:rsid w:val="00C40E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0C2740-497B-4E4A-BB63-910DD43F9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004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704</Words>
  <Characters>3878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 Hernández Chacón</dc:creator>
  <cp:keywords/>
  <dc:description/>
  <cp:lastModifiedBy>Michell Hernández Chacón</cp:lastModifiedBy>
  <cp:revision>1</cp:revision>
  <dcterms:created xsi:type="dcterms:W3CDTF">2025-04-14T19:16:00Z</dcterms:created>
  <dcterms:modified xsi:type="dcterms:W3CDTF">2025-04-14T19:32:00Z</dcterms:modified>
</cp:coreProperties>
</file>