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B17148">
        <w:rPr>
          <w:rFonts w:ascii="Arial" w:hAnsi="Arial" w:cs="Arial"/>
        </w:rPr>
        <w:t>24 al</w:t>
      </w:r>
      <w:r w:rsidR="00F11D94">
        <w:rPr>
          <w:rFonts w:ascii="Arial" w:hAnsi="Arial" w:cs="Arial"/>
        </w:rPr>
        <w:t xml:space="preserve"> 28</w:t>
      </w:r>
      <w:bookmarkStart w:id="0" w:name="_GoBack"/>
      <w:bookmarkEnd w:id="0"/>
      <w:r w:rsidR="00B17148">
        <w:rPr>
          <w:rFonts w:ascii="Arial" w:hAnsi="Arial" w:cs="Arial"/>
        </w:rPr>
        <w:t xml:space="preserve"> de Julio</w:t>
      </w:r>
      <w:r w:rsidR="00315F5A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F11D94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Marco Antonio Bonilla Mendoza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B1714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Escobedo, Nuevo León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B1714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Segunda Mesa de Trabajo Justicia Cívica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Implementación Programa de Justicia Cívica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Análisis de los medios alternos de solución de conflictos, seguimiento, actualización a la normativa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404CA1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17148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53D8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1D94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2018-10-10T17:58:00Z</dcterms:created>
  <dcterms:modified xsi:type="dcterms:W3CDTF">2018-10-10T17:58:00Z</dcterms:modified>
</cp:coreProperties>
</file>